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Доклад Министра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цифрового развития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Республики Дагестан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Ю.В. Гамзатова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Уважаемый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Ризван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Казимович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!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Уважаемые участники и приглашенные!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</w:t>
      </w:r>
    </w:p>
    <w:p w:rsidR="00807C15" w:rsidRDefault="00807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b/>
          <w:bCs/>
        </w:rPr>
      </w:pP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Разрешите поприветствовать всех на сегодняшнем заседании. </w:t>
      </w:r>
    </w:p>
    <w:p w:rsidR="00807C15" w:rsidRDefault="00807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 xml:space="preserve">Слайд 1. </w:t>
      </w: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</w:rPr>
        <w:t>Титульный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   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Министерство осуществляет свою деятельность по нескольким ключевым направлениям: развитие инфраструктуры связи и обеспечение информационной безопасности, внедрение цифровых технологий и цифровое государственное управление, координация подготовки ИТ-кадров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 поддержка ИТ-отрасли. Остановлюсь на каждом из них подробнее.</w:t>
      </w:r>
    </w:p>
    <w:p w:rsidR="00807C15" w:rsidRDefault="00807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</w:rPr>
        <w:t>Слайд 2. ЦЭ РФ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Министерством цифрового развития Республики Дагестан в рамках национальной программы «Цифровая экономика Российской Федерации» реализуются 4 региональных проекта «Информационн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ая инфраструктура», «Информационная безопасность», «Цифровые технологии», «Цифровое государственное управление». На 2023 год было предусмотрено достижение 9 показателей, которые выполнены в полном объеме.</w:t>
      </w:r>
    </w:p>
    <w:p w:rsidR="00807C15" w:rsidRDefault="00807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 xml:space="preserve">Слайд 3. Развитие инфраструктуры связи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Работа, проводимая в рамках проекта «Информационная инфраструктура» главным образом направлена на увеличение охвата домохозяйств доступом к сети «Интернет», который фактически обеспечен на 88,2%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(613,7 тыс.)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при плановом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значении 76,9%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(595,1 тыс.)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 рамк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ах проекта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«Устранение цифрового неравенства 2.0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», направленного на создание в малочисленных населенных пунктах сетей мобильной связи стандарта LTE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с населением от 100 до 500 жителей)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завершены работы в 71 населенном пункте.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Всего в прое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кт вкл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ючено 492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населенных пункта и предполагаются инвестиции в объеме 2,5 млрд. руб.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Совместно с ПАО «МегаФон» дополнительно смогли завести сотовую связь в 3 населенные пункта республики, воспользовавшись экономическими преференциями, предоставляемыми операторам связи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на плату за радиочастотный спектр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соответствии с решением Государственной комиссии по радиочастотам от 23.12.2022 № 22-65-09)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 взаимодействии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Минцифрой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России, МЧС Дагестана и операторами связи проведены командно-штабные тренировки по определению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готовности сетей связи к угрозе возникновения и возникновению чрезвычайных ситуаций природного и техногенного характера на территории Республики Дагестан, отработаны вводные в режиме ЧС муниципального, межмуниципального и регионального уровней. Все заплани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рованные мероприятия успешно реализованы. По итогам тренировок подготовлены рекомендации соответствующим органам власти и организациям об устранении выявленных недостатков</w:t>
      </w:r>
      <w:r>
        <w:t>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 тренировке приняли участие более 30 человек, были задействованы около 10 единиц техники, </w:t>
      </w:r>
      <w:r>
        <w:rPr>
          <w:rFonts w:ascii="Times New Roman" w:eastAsia="Times New Roman" w:hAnsi="Times New Roman" w:cs="Times New Roman"/>
          <w:color w:val="000000"/>
          <w:sz w:val="28"/>
        </w:rPr>
        <w:t>в том числе мобильное отделение почтовой связи, вертолет МИ-8 МЧС России и другая специализированная техника. Аварийно-восстановительные бригады трех операторов связ</w:t>
      </w:r>
      <w:r>
        <w:rPr>
          <w:rFonts w:ascii="Times New Roman" w:eastAsia="Times New Roman" w:hAnsi="Times New Roman" w:cs="Times New Roman"/>
          <w:color w:val="000000"/>
          <w:sz w:val="28"/>
        </w:rPr>
        <w:t>и продемонстрировали свой потенциал, технические и оперативные возможности по восстановлению сетей связи в условиях чрезвычайных ситуаций.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 рамках программы «Информационное общество» осуществляется модернизация отделений почтовой связи, расположенных в 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льской местности,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отчетном году прошли реконструкцию 30 отделений почтовой связи, всего в программу включены 315 отделений.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>Слайд 4. Развитие инфраструктуры связи. Планы на 2024 год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 текущем году в данном направлении планируется реализация следующих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мероприятий: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строительство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>в 31 населенном пункте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объектов сотовой связи стандарта LTE в рамках проекта УЦН 2.0;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 рамках предоставляемых экономических преференций на плату за радиочастотный спектр с операторами сотовой связи Мегафон и МТС планируется охва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тить еще 6 населенных пунктах сетями мобильной связи;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реконструкция 4 существующих отделений  и ввод в эксплуатацию 12 модульных отделений почтовой связи.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Помимо этого,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Минцифры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России возобновило финансирование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создания IT-инфраструктуры в 46 школах Респу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блики Дагестан.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bCs/>
          <w:i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 рамках национального проекта «Информационная инфраструктура» на эти цели из федерального бюджета выделят 85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млн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рублей.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Широкополосным доступом будет покрыто 1972 учебных класса  в указанных образовательных учреждениях.</w:t>
      </w:r>
      <w:proofErr w:type="gramEnd"/>
    </w:p>
    <w:p w:rsidR="00095685" w:rsidRDefault="000956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95685" w:rsidRDefault="000956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color w:val="A6A6A6" w:themeColor="background1" w:themeShade="A6"/>
          <w:highlight w:val="white"/>
        </w:rPr>
      </w:pP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lastRenderedPageBreak/>
        <w:t>Слайд 5. Обеспечение информационной безопасности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166"/>
        </w:tabs>
        <w:spacing w:after="0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 вопросах информационной безопасности сохраняется тенденция проведения компьютерных атак. Всего за прошлый год зафиксировано более 1440 случаев массированных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DDoS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-атак,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а также атак, направленных на вывод из строя информационных систем и ресурсов, расположенных в Республиканском центре обработки данных (далее – РЦОД). В этой связи для защиты информационных систем в РЦОД подключена дополнительная защита от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DDoS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-атак, пред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оставляемая оператором связи, а также заблокированы все IP-адреса, с которых осуществлялись атаки. При обработке компьютерных атак в режиме реального времени обеспечивается взаимодействие с Национальным координационным центром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 компьютерным инцидентам (Н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КЦКИ) в государственной системе обнаружения, предупреждения и ликвидации последствий компьютерных атак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ГосСОПКА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).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8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Процессы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импортозамещения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реализуется в образовательных организациях республики. По соглашениям с российскими разработчиками в школы передано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передано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более 10 тысяч лицензий на российскую операционную систему и офисное программное обеспечение.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Продолжается работа по повышению уровня защищенности государственных информационных систем. В отчетном году завершена аттестация региональной геоинформа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ционной системы Республики Дагестан.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На базе ГАУ РД «Центр информационных технологий» функционирует центр мониторинга компьютерных атак (SOC-центр). Специалисты ежедневно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мониторят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информацию о компьютерных атаках и инцидентах на информационную инфраструкт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уру республики с помощью специализированного программного обеспечения, позволяющий анализировать сетевой трафик.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567"/>
        <w:jc w:val="both"/>
        <w:rPr>
          <w:b/>
          <w:bCs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Совместно с Управлением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Федеральной службы по техническому и экспортному контролю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(ФСТЭК) России по Южному и Северо-Кавказскому федеральным окр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угам и Прокуратурой республики на регулярной основе проводится анализ исполнения положений Федерального закона № 187-ФЗ «О безопасности критической информационной инфраструктуры Российской Федерации».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 ходе проводимого анализа в Республике Дагестан выявле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но 263 субъектов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 ведении которых 106 значимых объектов КИИ и 1258 незначимых объектов КИИ.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Проведены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киберучения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 отработке действий сотрудниками при обнаружении компьютерных атак на информационную инфраструктуру.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киберучениях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приняли участие 10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профильных специалистов органов власти и подведомственных учреждений.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Для повышения общего уровня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киберграмотности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государственных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служащих более 800 сотрудников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приняли участие в государственной программе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кибергигиены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разработанной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Минцифрой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России и АНО «Диалог Регионы».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 учетом значимости процессов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импортозамещения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, более 2,5 тысяч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сотрудников органов исполнительной власти переведены на работу в отечественном комплексе средств Автоматизированное рабочее место государственного служащего (КС АРМ ГС), разработанного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Минцифры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России.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3" w:lineRule="atLeast"/>
        <w:ind w:firstLine="708"/>
        <w:jc w:val="both"/>
        <w:rPr>
          <w:color w:val="A6A6A6" w:themeColor="background1" w:themeShade="A6"/>
          <w:highlight w:val="white"/>
        </w:rPr>
      </w:pP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>Слайд 6. Обеспечение информационной безопасности. Пла</w:t>
      </w: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>ны на 2024 год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 текущем году мы планируем провести оценку защищенности ГИС, размещенных в РЦОД для выявления и устранения уязвимостей в системе защиты информации РЦОД.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Ведется разработка единого стандарта по управлению уязвимостями в программном обеспеч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ении в органах исполнительной власти Республики Дагестан. Результаты будут утверждены постановлением правительства РД.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Планируется завершить переход на обмен документами с отметкой «Для служебного пользования» в Единой системе межведомственного электронног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 документооборота Республики Дагестан. Данная мера позволит существенно сократить расходы на отправления корреспонденции с пометкой «ДСП», которую в настоящее время отправляют посредством спецсвязи и фельдсвязи, а также сократить сроки доставки документов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color w:val="A6A6A6" w:themeColor="background1" w:themeShade="A6"/>
          <w:highlight w:val="white"/>
        </w:rPr>
      </w:pP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>Слайд 7. Государственные услуги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3" w:lineRule="atLeast"/>
        <w:ind w:firstLine="708"/>
        <w:jc w:val="both"/>
      </w:pPr>
      <w:r>
        <w:rPr>
          <w:rFonts w:ascii="Arial" w:eastAsia="Arial" w:hAnsi="Arial" w:cs="Arial"/>
          <w:color w:val="000000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 направлению дальнейшего развития государственных услуг обеспечена возможность получения 82 массовых социально значимых услуг (МСЗУ) посредством Портала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Дополнительно проведена работа по переводу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8 востребованных услуг, не входящий в региональный перечень МСЗУ.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Даглесхоз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4, Минтранс РД – 1, ОМСУ – 1,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Минцифры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РД – 1,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Минтуризм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РД – 1):</w:t>
      </w:r>
    </w:p>
    <w:p w:rsidR="00807C15" w:rsidRDefault="00F66427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Утверждение актов лесопатологического обследования</w:t>
      </w:r>
    </w:p>
    <w:p w:rsidR="00807C15" w:rsidRDefault="00F66427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Согласование проекта лесоразведения и внесения в него измене</w:t>
      </w:r>
      <w:r>
        <w:rPr>
          <w:rFonts w:ascii="Times New Roman" w:eastAsia="Times New Roman" w:hAnsi="Times New Roman" w:cs="Times New Roman"/>
          <w:color w:val="000000"/>
          <w:sz w:val="28"/>
        </w:rPr>
        <w:t>ний</w:t>
      </w:r>
    </w:p>
    <w:p w:rsidR="00807C15" w:rsidRDefault="00F66427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Согласование проекта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лесовосстановления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внесения в него изменений</w:t>
      </w:r>
    </w:p>
    <w:p w:rsidR="00807C15" w:rsidRDefault="00F66427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Проведение государственной экспертизы проектов освоения лесов, расположенных на землях лесного фонда</w:t>
      </w:r>
    </w:p>
    <w:p w:rsidR="00807C15" w:rsidRDefault="00F66427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Государственная регистрация аттракционов</w:t>
      </w:r>
    </w:p>
    <w:p w:rsidR="00807C15" w:rsidRDefault="00F66427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Выдача заключения о возможности быть опекуном (попечителем), усыновителем, приемным родителем, патронатным воспитателем</w:t>
      </w:r>
    </w:p>
    <w:p w:rsidR="00807C15" w:rsidRDefault="00F66427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Меры социальной поддержки мобилизованным гражданам</w:t>
      </w:r>
    </w:p>
    <w:p w:rsidR="00807C15" w:rsidRDefault="00F66427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Аттестация гидов-экскурсоводов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Указанные услуги предоставляются 17 органами исполните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льной власти и всеми администрациями муниципальных районов и городских округов.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Регулярно проводится работа по популяризации получения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 электронном виде через информационные каналы и социальные сети.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11"/>
        </w:tabs>
        <w:spacing w:after="0" w:line="253" w:lineRule="atLeast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Так,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доля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зарегистрированных граждан, использовавших Портал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 2023 году возросла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 43% по сравнению с 2022 годом.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 целях достижения показателя «Уровень удовлетворенности качеством предоставления массовых социально значимых государственных и муниципа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льных услуг в электронном виде с использованием ЕПГУ» осуществляется контроль качества и своевременность предоставления электронных услуг. На 2023 г. показатель составил 4,19 балла при плановом значении 4 балла.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Всего за 2023 год подали через Портал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госусл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свыше 4,5 млн. заявлений на получение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Для сравнения в 2022 году было подано 2,5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млн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заявлений.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Кроме того, по данным Ситуационного центра электронного правительства РФ Республика Дагестан занимает 15 место в рейтинге по получению федеральных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слуг в электронном виде.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 целях достижения показателей цифровой зрелости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Госуправлению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совместно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РД и ОМСУ в 2023 году реализованы мероприятия по оказанию в электронном виде услуги «Запись в первый класс», благодаря чему по данной услуг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 удалось достичь высокой доли обращений в электронной форме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порядка 55 %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).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Информация до родителей о возможности дистанционной записи детей в первый класс, доводилась через образовательные организации, а также СМИ и социальные сети. </w:t>
      </w:r>
    </w:p>
    <w:p w:rsidR="00807C15" w:rsidRDefault="00807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color w:val="A6A6A6" w:themeColor="background1" w:themeShade="A6"/>
          <w:highlight w:val="white"/>
        </w:rPr>
      </w:pP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 xml:space="preserve">Слайд 8. </w:t>
      </w:r>
      <w:proofErr w:type="spellStart"/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>Госуслуги</w:t>
      </w:r>
      <w:proofErr w:type="gramStart"/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>.А</w:t>
      </w:r>
      <w:proofErr w:type="gramEnd"/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>ИС</w:t>
      </w:r>
      <w:proofErr w:type="spellEnd"/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>Охотуправление</w:t>
      </w:r>
      <w:proofErr w:type="spellEnd"/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>»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Также,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Минцифры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РД в 2023 году проведена доработка ведомственной системы Минприроды РД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Охотуправление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», обеспечена возможность оказания трех МСЗУ в электронном виде, возможность приема заявлений с Портала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суслуг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, осуществлена интег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рация с системой МФЦ.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Перечень услуг представлен на слайде.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bCs/>
          <w:i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– Выдача и аннулирование охотничьего билета единого федерального образца.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bCs/>
          <w:i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 xml:space="preserve">– Выдача разрешения на добычу охотничьих ресурсов.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– 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РФ.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rFonts w:ascii="Arial" w:eastAsia="Arial" w:hAnsi="Arial" w:cs="Arial"/>
          <w:color w:val="000000"/>
        </w:rPr>
        <w:t> 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 xml:space="preserve">Слайд 9. Государственные </w:t>
      </w: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>услуги. Планы на 2024 год. </w:t>
      </w:r>
      <w:r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 xml:space="preserve">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По данному направлению в 2024 году планируется  перевод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электронную форму 18 услуг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прилагается в конце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посредством Визуального конструктора услуг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сферах социального обслуживания, промышленности, предпринимательства, культуры и туризма, а также организация мероприятий по популяризации получения услуг в электронной форм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е.</w:t>
      </w:r>
    </w:p>
    <w:p w:rsidR="00807C15" w:rsidRDefault="00807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>Слайд 10. Цифровая трансформация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2" w:lineRule="atLeast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Индикатором эффективности цифровой трансформации региона является Цифровая зрелость отраслей экономики. В 2022 году показатель цифровой зрелости по Дагестану составлял – 53,6 процентов, при плановом значении – 46 процентов. В 2023 году удалось достичь знач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ения 62,4 %, при плановом значении 59,1 %. На 2024 год определено значение 63,7%.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Данный показатель является комплексным и включает в себя 5 отраслей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Итоги 2023 года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представлены на слайде.</w:t>
      </w:r>
    </w:p>
    <w:p w:rsidR="00807C15" w:rsidRDefault="00807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2" w:lineRule="atLeast"/>
        <w:ind w:firstLine="709"/>
        <w:jc w:val="both"/>
      </w:pPr>
    </w:p>
    <w:p w:rsidR="00807C15" w:rsidRDefault="00F6642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2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Государственно</w:t>
      </w:r>
      <w:r>
        <w:rPr>
          <w:rFonts w:ascii="Times New Roman" w:eastAsia="Times New Roman" w:hAnsi="Times New Roman" w:cs="Times New Roman"/>
          <w:color w:val="000000"/>
          <w:sz w:val="28"/>
        </w:rPr>
        <w:t>е управление – 87% (2022 год – 80,8%)</w:t>
      </w:r>
    </w:p>
    <w:p w:rsidR="00807C15" w:rsidRDefault="00F6642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2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Образование </w:t>
      </w:r>
      <w:r>
        <w:rPr>
          <w:rFonts w:ascii="Times New Roman" w:eastAsia="Times New Roman" w:hAnsi="Times New Roman" w:cs="Times New Roman"/>
          <w:color w:val="000000"/>
          <w:sz w:val="28"/>
        </w:rPr>
        <w:t>– 84,1% (2022 год – 57,5%)</w:t>
      </w:r>
    </w:p>
    <w:p w:rsidR="00807C15" w:rsidRDefault="00F6642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2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Здравоохранение – 82,5% (2022 год – 56,8%)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Городское хозяйство и строительство – 40,5% (2022 год – 61,5%)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Общественный транспорт – 17,8% (2022 год – 10,8%)</w:t>
      </w:r>
    </w:p>
    <w:p w:rsidR="00807C15" w:rsidRDefault="00807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2" w:lineRule="atLeast"/>
        <w:ind w:firstLine="709"/>
        <w:jc w:val="both"/>
        <w:rPr>
          <w:b/>
          <w:bCs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всем отраслям, кроме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Городское хозяйство и строительство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» отмечается положительная динамика.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Понижение показателя по направлению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Городское хозяйство и строительство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» обусловлено добавлением в 2023 году двух новых показателей: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«Доля коммунальных услуг, оплаченных онлайн» и «Доля услуг по управлению многоквартир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ным домом и содержанию общего имущества, оплаченных онлайн»</w:t>
      </w:r>
      <w: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которые связаны с использованием системы ГИС ЖКХ. </w:t>
      </w:r>
      <w:r>
        <w:t xml:space="preserve"> </w:t>
      </w:r>
    </w:p>
    <w:p w:rsidR="00807C15" w:rsidRDefault="00807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2" w:lineRule="atLeast"/>
        <w:ind w:firstLine="709"/>
        <w:jc w:val="both"/>
        <w:rPr>
          <w:b/>
          <w:bCs/>
        </w:rPr>
      </w:pP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Arial" w:eastAsia="Arial" w:hAnsi="Arial" w:cs="Arial"/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>Слайд 11. Цифровые сервисы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Внедрение цифровых сервисов в отраслях экономики, в том числе в сфере государственного управления позволяет повысить эффективность и оперативность взаимодействия.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ab/>
        <w:t>Все органы исполнительной власти и органы местного самоуправления Республики Дагестан исполь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зуют государственную информационную систему электронного документооборота.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Ежедневно в системе работают свыше 6 тысяч пользователей. За прошлый год количество зарегистрированных документов в системе составило свыше 1,1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млн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документов, из них с применением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ЭП более 55 %.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2" w:lineRule="atLeast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каналам межведомственного электронного документооборота (МЭДО) поступило 37 тысяч документов от федеральных и иных  ведомств субъектов Российской Федерации, направлено по каналам МЭДО –18 тысяч писем.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Система электронного документооборот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 аттестована по требованиям безопасности информации, а также получен аттестат соответствия безопасности информации.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2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Ведется работа по подключению сельских поселений и всех подведомственных учреждений к ГИС «СЭД РД».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рамках исполнения поручений данных Президентом Российской Федерации В.В. Путиным по вопросам реализации государственной программы «Национальная система пространственных данных» между ППК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Роскадастр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»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Минцифры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РД заключено Соглашение об информационном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заимодействии по пе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редаче 160 слоев в Единую цифровую платформу НСПД.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color w:val="A6A6A6" w:themeColor="background1" w:themeShade="A6"/>
          <w:highlight w:val="white"/>
        </w:rPr>
      </w:pP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>Слайд 12. Подготовка ИТ-кадров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61" w:lineRule="atLeast"/>
        <w:ind w:firstLine="708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Основной фактор успеха цифровой трансформации отраслей экономики – это высококвалифицированные кадры, подготовка которых начинается со школьной скамьи. В настоящее время активно проводится работа по таким направлениям как непрерывное повышение квалификации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учителей и преподавателей,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работа с учащимися, работа по увеличению КЦП и вовлечение студенческого сообщества в социально-экономическое развитие региона.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информирования целевой аудитории о востребованности в регионе ИТ-профессий,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озможностях получения ИТ-образования в ВУЗах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ССУЗах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региона, а также перспективах последующей карьеры в ИТ-сфере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Минцифры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разработана и утверждена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протоколом заседания Правительственной комиссии Республики Дагестан по использованию информационных тех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нологий для формирования экосистемы цифровой экономики от 23 августа 2023 года №32-01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региональная программа по популяризации ИТ-специальностей.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При подготовке были учтены предложения органов власти, образовательных организаций и экспертов.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 рамках вышен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азванной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проведено 86 профориентационных мероприятий, таких как «Урок цифры», «Цифровой диктант», «День цифры», «Цифровой ликбез»,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Республиканский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форум на тему «Искусственный интеллект в отраслях», в котором в онлайн формате п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риняли участие более 450 учащихся от 28 общеобразовательных организаций.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Минцифры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России в рамках федерального проекта «Развитие кадрового потенциала ИТ-отрасли» национальной программы «Цифровая экономика Российской Федерации» реализует проект «Код будущег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о», который предоставляет возможность прохождения дополнительного двухлетнего курса обучения современным языкам программирования.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проекте «Код будущего» за 2022-2023 гг. приняли участие более 9000 ребят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(9586).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Подготовка ИТ-специалистов в республике осуществляется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 4 ВУЗах и 25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ССУЗах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. Динамика увеличения контрольных цифр приема отражена на слайде.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bCs/>
          <w:i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2021/2022 учебный год контрольные цифры приема по программам ИТ-направленности были установлены в количестве 19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81 мест.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bCs/>
          <w:i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На 2022/2023 учебный год - в количестве 2041 мест.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bCs/>
          <w:i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На 2023/2024 учебный год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увеличены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 составили 2394 мест. Объем КЦП в 2023 году по сравнению с 2021 годом увеличился на 21%.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>Слайд 13. Подготовка ИТ-кадров. Планы на 2024 год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 январе текущего года под руководством Председателя Правительства Республики Дагестан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Абдулмуслимова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А.М. проведена стратегическая сессия по подготовке ИТ-кадров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итогам которой определен ряд задач и решений, направленных на подготовку квалифицированны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х кадров в тесном сотрудничестве вузов с представителями ИТ-отрасли, это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Минцифры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РД и ИТ-компании.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Дагестанским государственным университетом планируется расширение сотрудничества в рамках созданной базовой кафедры цифровой экономики и экономики данны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внедрения в образовательный процесс практико-ориентированных курсов.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Минцифры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РД подписано соглашение в целях создания в Дагестанском государственном медицинском университете на базе Института электронного медицинского образования цифровой кафедры. 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акие кафедры дают возможность в течение года получить в дополнение к основной отраслевой специальности вторую специализацию, связанную с ИТ.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Также идет подготовка к открытию нового направления «Медицинская кибернетика».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поручению Председателя Правительс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тва РД А.М.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Абдулмуслимова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данному в ходе визита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Минцифры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РД в декабре 2023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года, ведется работа по созданию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центра компетенций на базе нашего подведомственного учреждения ГАУ РД «МФЦ в РД».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студентов ИТ-направлений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 2024 году планируется проведен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ие регионального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хакатона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, ИТ-конференции, а также совместно с ДГУ разрабатывается концепция проведения Студенческого цифрового форума прикаспийских государств.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16 июня 2023 года в рамках Петербургского международного экономического форума Глава Республики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Дагестан Сергей Меликов и председатель правления Сбербанка России Герман Греф подписали соглашение о сотрудничестве в сфере подготовки ИТ-специалистов и открытии в Дагестане кампуса «Школы 21». Школа будет дополнять основное образование для студентов прог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раммистов средних специальных и высших учебных заведений,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также станет местом переподготовки для тех, кто пожелает стать специалистом 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сфере. На сегодняшний день Администрацией г. Махачкалы определен участок и ведется проектирование кампуса.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>Слайд 14</w:t>
      </w: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>. Каспийский цифровой форум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Кроме того, проведены мероприятия, направленные на установление диалога между государством, бизнесом и научным сообществом. В 2023 году проведена Цифровая прокачка по направлениям Государственное управление и Транспорт; первый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еждународный Каспийский цифровой форум, центральной темой которого было создание цифровой инфраструктуры реализации проекта МТК «Север-Юг»</w:t>
      </w:r>
      <w:r>
        <w:rPr>
          <w:b/>
          <w:bCs/>
        </w:rPr>
        <w:t>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 рамках форума подписаны соглашения, предусматривающие развитие информационной инфраструктуры, информатизации и инф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ормационных технологий в республике, такие как создание крупного центра обработки данных, сотрудничество по вопросам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трансграничного взаимодействия бизнеса стран прикаспийского региона.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 между Правительством Республики Дагестан, обществом с ограниченной ответственностью «Кей Поинт групп» и обществом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Неорос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 целью взаимодействия и сотрудничества при реализации на территории Республики Дагестан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нвестиционного проекта по созданию коммерческого центра обработки данных;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соглашение между Правительством Республики Дагестан и акционерным обществом «Производственная фирма «СКБ Контур» с целью сотрудничества сторон в сфере информатизации и развития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ормационных технологий на территории Республики Дагестан,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трансграничного взаимодействия бизнеса стран прикаспийского региона;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соглашение между Министерством цифрового развития Республики Дагестан и автономной некоммерческой организацией сод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 развитию цифровой экономики «Лаборатория Цифровой Трансформации» с целью информационного обмена и совместной деятельности.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Проведение международного Каспийского цифрового форума также запланировано на ноябрь 2024 года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Форум включен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Минцифры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России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 ежегодный план-график значимых мероприятий на текущий год и к проведению ежегодно. </w:t>
      </w:r>
    </w:p>
    <w:p w:rsidR="00807C15" w:rsidRDefault="00807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</w:pP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color w:val="A6A6A6" w:themeColor="background1" w:themeShade="A6"/>
          <w:highlight w:val="white"/>
        </w:rPr>
      </w:pP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highlight w:val="white"/>
        </w:rPr>
        <w:t>Слайд 15. Меры поддержки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 республике проводится работа, направленная на поддержку IT-отрасли,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том числе в рамках Указа Президента Российской Федерации В.В. Путина от 2 марта 2022 года № 83 «О мерах по обеспечению ускоренного развития отрасли информационных технологий в Российской Федерации».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 ранее действующим мерам поддержки добавились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сниженная арендная плата для объектов связи и ЦОД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Гранты Главы РД в области информационно-коммуникационных технологий. </w:t>
      </w:r>
    </w:p>
    <w:p w:rsidR="00807C15" w:rsidRDefault="00807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sz w:val="24"/>
          <w:szCs w:val="24"/>
        </w:rPr>
      </w:pP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Инвестиционный вычет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республике действует механизм инвестиционного налогового вычета по налогу на прибыль, предусматривающего его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аспространение на компании, осуществляющие деятельность в сфере телекоммуникаций по коду 61 ОКВЭД «Деятельность в сфере коммуникаций», в соответствии с Законом Республики Дагестан от 29.05.2020 г. № 31. Размер инвестиционного налогового вычета текущего 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 (отчетного) периода составляет 90 процентов от суммы расходов.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Упрощенная система налогообложения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Предусмотрено установление пониженных налоговых ставок по упрощенной системе налогообложения для всех категорий налогоплательщиков, в том числе заняты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 сфере ИТ-технологий. При этом по упрощенной системе налогообложения для налогоплательщиков, выбравших в качестве объекта налогообложения «доходы», предусмотрено снижение ставки налога до 1 процента, по объекту налогообложения «доходы, уменьшенные на 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личину расходов» до 5 процентов. Законом Республики Дагестан от 6 мая 2009 года № 26 «О ставке налога при применении упрощенной системы налогообложения»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Клиентоцентричность</w:t>
      </w:r>
      <w:proofErr w:type="spellEnd"/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 xml:space="preserve"> рамках реализации Федерального проекта «Государство для людей» и внедрения прин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 xml:space="preserve">ципов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>клиентоцентричности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 xml:space="preserve"> в Республике Дагестан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создан проектный офис в ГАУ МФЦ по РД, проведен анализ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 xml:space="preserve">государственных услуг. В текущем году ведется работа по оптимизации 25 из 126 услуг, требующих доработки. 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 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</w:rPr>
        <w:t>Госпаблики</w:t>
      </w:r>
      <w:proofErr w:type="spellEnd"/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 xml:space="preserve">В целях размещения информации о своей деятельности в сети «Интернет» государственные органы и подведомственные им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lastRenderedPageBreak/>
        <w:t xml:space="preserve">организации обязаны создавать и вести официальные страницы в социальных сетях (далее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>госпаблики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>).</w:t>
      </w:r>
      <w:r>
        <w:rPr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 xml:space="preserve">На текущий момент создано и ведется 3561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>оспаблик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>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</w:rPr>
        <w:t> 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</w:rPr>
        <w:t>Платформа обратной связи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b/>
          <w:bCs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 Республике Дагестан внедрена Платформа обратной связи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)- целью которой является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>быстрая доставка сообщений от жителей, обязательный контроль эффективности решений, а также выявление истинных причин и проблем гражд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>ан.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2" w:lineRule="atLeast"/>
        <w:ind w:firstLine="709"/>
        <w:jc w:val="both"/>
        <w:rPr>
          <w:b/>
          <w:bCs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Создано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>3 987 личных кабинетов организаций и 4 846 учетных записей ответственных сотрудников.</w:t>
      </w:r>
      <w:r>
        <w:rPr>
          <w:b/>
          <w:bCs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 xml:space="preserve">За 2023 год в систему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>ПОС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 xml:space="preserve"> поступило более 15 тыс. обращений.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 2024 года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 xml:space="preserve"> к обращениям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поступающим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>ПОС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 xml:space="preserve"> предъявляются требования в соответствии с Федеральным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</w:rPr>
        <w:t>законом №59-ФЗ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</w:pPr>
      <w:r>
        <w:rPr>
          <w:rFonts w:ascii="Arial" w:eastAsia="Arial" w:hAnsi="Arial" w:cs="Arial"/>
          <w:color w:val="000000"/>
        </w:rPr>
        <w:t> </w:t>
      </w:r>
    </w:p>
    <w:p w:rsidR="00807C15" w:rsidRDefault="00F66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b/>
          <w:bCs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Уважаемый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Ризван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Казимович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, коллеги, участники и гости коллегии, хочу вас заверить, что проекты, реализуемые нашим министерством, будут исполнены в полном объеме и с нужным качеством. Доклад окончен. Спасибо за внимание!</w:t>
      </w:r>
    </w:p>
    <w:p w:rsidR="00807C15" w:rsidRDefault="00807C15"/>
    <w:p w:rsidR="00807C15" w:rsidRDefault="00807C15"/>
    <w:p w:rsidR="00807C15" w:rsidRDefault="00F66427">
      <w:r>
        <w:br w:type="page" w:clear="all"/>
      </w:r>
    </w:p>
    <w:p w:rsidR="00807C15" w:rsidRDefault="00F66427">
      <w:pPr>
        <w:jc w:val="right"/>
      </w:pPr>
      <w:r>
        <w:lastRenderedPageBreak/>
        <w:t>Приложение</w:t>
      </w:r>
    </w:p>
    <w:p w:rsidR="00807C15" w:rsidRDefault="00807C15">
      <w:pPr>
        <w:jc w:val="right"/>
      </w:pPr>
    </w:p>
    <w:p w:rsidR="00807C15" w:rsidRDefault="00F66427">
      <w:pPr>
        <w:pStyle w:val="af9"/>
        <w:numPr>
          <w:ilvl w:val="0"/>
          <w:numId w:val="7"/>
        </w:numPr>
        <w:spacing w:line="240" w:lineRule="auto"/>
      </w:pPr>
      <w:r>
        <w:t>Единовременная денежная выплата семьям при рождении пятого и последующих детей по Указу Президента Республики Дагестан от 31 мая 2007 года № 71</w:t>
      </w:r>
    </w:p>
    <w:p w:rsidR="00807C15" w:rsidRDefault="00F66427">
      <w:pPr>
        <w:pStyle w:val="af9"/>
        <w:numPr>
          <w:ilvl w:val="0"/>
          <w:numId w:val="7"/>
        </w:numPr>
        <w:spacing w:line="240" w:lineRule="auto"/>
      </w:pPr>
      <w:r>
        <w:t>Предоставление автотранспорта (микроавтобуса) малоимущим многодетным семьям</w:t>
      </w:r>
    </w:p>
    <w:p w:rsidR="00807C15" w:rsidRDefault="00F66427">
      <w:pPr>
        <w:pStyle w:val="af9"/>
        <w:numPr>
          <w:ilvl w:val="0"/>
          <w:numId w:val="7"/>
        </w:numPr>
        <w:spacing w:line="240" w:lineRule="auto"/>
      </w:pPr>
      <w:r>
        <w:t>Единовременная денежная выплата на д</w:t>
      </w:r>
      <w:r>
        <w:t>етей, поступающих в первый класс, из малоимущих многодетных семей, проживающих в Республике Дагестан</w:t>
      </w:r>
    </w:p>
    <w:p w:rsidR="00807C15" w:rsidRDefault="00F66427">
      <w:pPr>
        <w:pStyle w:val="af9"/>
        <w:numPr>
          <w:ilvl w:val="0"/>
          <w:numId w:val="7"/>
        </w:numPr>
        <w:spacing w:line="240" w:lineRule="auto"/>
      </w:pPr>
      <w:r>
        <w:t>Выдача справки о признании семьи и одиноко проживающего гражданина малоимущими для получения ими государственной социальной помощи и иных мер социальной по</w:t>
      </w:r>
      <w:r>
        <w:t>ддержки</w:t>
      </w:r>
    </w:p>
    <w:p w:rsidR="00807C15" w:rsidRDefault="00F66427">
      <w:pPr>
        <w:pStyle w:val="af9"/>
        <w:numPr>
          <w:ilvl w:val="0"/>
          <w:numId w:val="7"/>
        </w:numPr>
        <w:spacing w:line="240" w:lineRule="auto"/>
      </w:pPr>
      <w:r>
        <w:t>Ежемесячная денежная выплата жертвам политических репрессий, труженикам тыла и ветеранам труда</w:t>
      </w:r>
    </w:p>
    <w:p w:rsidR="00807C15" w:rsidRDefault="00F66427">
      <w:pPr>
        <w:pStyle w:val="af9"/>
        <w:numPr>
          <w:ilvl w:val="0"/>
          <w:numId w:val="7"/>
        </w:numPr>
        <w:spacing w:line="240" w:lineRule="auto"/>
      </w:pPr>
      <w:r>
        <w:t>Компенсация расходов на уплату взноса на капитальный ремонт общего имущества в многоквартирных домах, расположенных на территории Республики Дагестан, от</w:t>
      </w:r>
      <w:r>
        <w:t>дельным категориям граждан</w:t>
      </w:r>
    </w:p>
    <w:p w:rsidR="00807C15" w:rsidRDefault="00F66427">
      <w:pPr>
        <w:pStyle w:val="af9"/>
        <w:numPr>
          <w:ilvl w:val="0"/>
          <w:numId w:val="7"/>
        </w:numPr>
        <w:spacing w:line="240" w:lineRule="auto"/>
      </w:pPr>
      <w:r>
        <w:t>Единовременной денежной выплаты на оплату расходов, связанных с приобретением, установкой внутридомового газового оборудования и проведением газопровода внутри земельного участка, отдельным категориям граждан, проживающих в Респу</w:t>
      </w:r>
      <w:r>
        <w:t>блике Дагестан</w:t>
      </w:r>
    </w:p>
    <w:p w:rsidR="00807C15" w:rsidRDefault="00F66427">
      <w:pPr>
        <w:pStyle w:val="af9"/>
        <w:numPr>
          <w:ilvl w:val="0"/>
          <w:numId w:val="7"/>
        </w:numPr>
        <w:spacing w:line="240" w:lineRule="auto"/>
      </w:pPr>
      <w:r>
        <w:t xml:space="preserve">Предоставление субсидии отдельным категориям граждан, проживающих в Республике Дагестан, на покупку и установку газоиспользующего </w:t>
      </w:r>
      <w:proofErr w:type="gramStart"/>
      <w:r>
        <w:t>оборудования</w:t>
      </w:r>
      <w:proofErr w:type="gramEnd"/>
      <w:r>
        <w:t xml:space="preserve"> и проведение работ внутри границ их земельных участков в рамках реализации мероприятий по осуществ</w:t>
      </w:r>
      <w:r>
        <w:t xml:space="preserve">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>
        <w:t>догазификации</w:t>
      </w:r>
      <w:proofErr w:type="spellEnd"/>
    </w:p>
    <w:p w:rsidR="00807C15" w:rsidRDefault="00F66427">
      <w:pPr>
        <w:pStyle w:val="af9"/>
        <w:numPr>
          <w:ilvl w:val="0"/>
          <w:numId w:val="7"/>
        </w:numPr>
        <w:spacing w:line="240" w:lineRule="auto"/>
      </w:pPr>
      <w:r>
        <w:t>Согласование установки информационных надписей и обозначений на объектах культурного нас</w:t>
      </w:r>
      <w:r>
        <w:t>ледия (за исключением отдельных объектов культурного наследия, перечень которых устанавливается Правительством Российской Федерации).</w:t>
      </w:r>
    </w:p>
    <w:p w:rsidR="00807C15" w:rsidRDefault="00F66427">
      <w:pPr>
        <w:pStyle w:val="af9"/>
        <w:numPr>
          <w:ilvl w:val="0"/>
          <w:numId w:val="7"/>
        </w:numPr>
        <w:spacing w:line="240" w:lineRule="auto"/>
      </w:pPr>
      <w:r>
        <w:t>Государственная экспертиза проектов освоения лесов, расположенных на землях лесного фонда</w:t>
      </w:r>
    </w:p>
    <w:p w:rsidR="00807C15" w:rsidRDefault="00F66427">
      <w:pPr>
        <w:pStyle w:val="af9"/>
        <w:numPr>
          <w:ilvl w:val="0"/>
          <w:numId w:val="7"/>
        </w:numPr>
        <w:spacing w:line="240" w:lineRule="auto"/>
      </w:pPr>
      <w:r>
        <w:t>Аттестация экскурсоводов (гидов)</w:t>
      </w:r>
      <w:r>
        <w:t>, гидов-переводчиков</w:t>
      </w:r>
    </w:p>
    <w:p w:rsidR="00807C15" w:rsidRDefault="00F66427">
      <w:pPr>
        <w:pStyle w:val="af9"/>
        <w:numPr>
          <w:ilvl w:val="0"/>
          <w:numId w:val="7"/>
        </w:numPr>
        <w:spacing w:line="240" w:lineRule="auto"/>
      </w:pPr>
      <w:r>
        <w:t>Предоставление субсидий для субсидирования части затрат субъектов малого и среднего предпринимательства, связанных с уплатой процентов по кредитам</w:t>
      </w:r>
    </w:p>
    <w:p w:rsidR="00807C15" w:rsidRDefault="00F66427">
      <w:pPr>
        <w:pStyle w:val="af9"/>
        <w:numPr>
          <w:ilvl w:val="0"/>
          <w:numId w:val="7"/>
        </w:numPr>
        <w:spacing w:line="240" w:lineRule="auto"/>
      </w:pPr>
      <w:r>
        <w:t>Предоставление субсидий субъектам малого и среднего предпринимательства в целях возмещен</w:t>
      </w:r>
      <w:r>
        <w:t xml:space="preserve">ия части затрат, связанных с участием в </w:t>
      </w:r>
      <w:proofErr w:type="spellStart"/>
      <w:r>
        <w:t>выставочно</w:t>
      </w:r>
      <w:proofErr w:type="spellEnd"/>
      <w:r>
        <w:t>-ярмарочных мероприятиях</w:t>
      </w:r>
    </w:p>
    <w:p w:rsidR="00807C15" w:rsidRDefault="00F66427">
      <w:pPr>
        <w:pStyle w:val="af9"/>
        <w:numPr>
          <w:ilvl w:val="0"/>
          <w:numId w:val="7"/>
        </w:numPr>
        <w:spacing w:line="240" w:lineRule="auto"/>
      </w:pPr>
      <w:r>
        <w:t>Оценка качества оказываемых социально ориентированными некоммерческими организациями общественно полезных услуг по установленным критериям</w:t>
      </w:r>
    </w:p>
    <w:p w:rsidR="00807C15" w:rsidRDefault="00F66427">
      <w:pPr>
        <w:pStyle w:val="af9"/>
        <w:numPr>
          <w:ilvl w:val="0"/>
          <w:numId w:val="7"/>
        </w:numPr>
        <w:spacing w:line="240" w:lineRule="auto"/>
      </w:pPr>
      <w:r>
        <w:t xml:space="preserve">Предоставление субсидий юридическим лицам </w:t>
      </w:r>
      <w:r>
        <w:t>на компенсацию части затрат, связанных с приобретением машин и оборудования для реализации инвестиционных проектов по модернизации производства</w:t>
      </w:r>
    </w:p>
    <w:p w:rsidR="00807C15" w:rsidRDefault="00F66427">
      <w:pPr>
        <w:pStyle w:val="af9"/>
        <w:numPr>
          <w:ilvl w:val="0"/>
          <w:numId w:val="7"/>
        </w:numPr>
        <w:spacing w:line="240" w:lineRule="auto"/>
      </w:pPr>
      <w:r>
        <w:t>Предоставление субсидий предприятиям легкой промышленности на возмещение части затрат на продвижение отечественн</w:t>
      </w:r>
      <w:r>
        <w:t xml:space="preserve">ой продукции легкой промышленности на электронных торговых площадках и (или) на оплату услуг по созданию </w:t>
      </w:r>
      <w:proofErr w:type="gramStart"/>
      <w:r>
        <w:t>собственного</w:t>
      </w:r>
      <w:proofErr w:type="gramEnd"/>
      <w:r>
        <w:t xml:space="preserve"> интернет-магазина</w:t>
      </w:r>
    </w:p>
    <w:p w:rsidR="00807C15" w:rsidRDefault="00F66427">
      <w:pPr>
        <w:pStyle w:val="af9"/>
        <w:numPr>
          <w:ilvl w:val="0"/>
          <w:numId w:val="7"/>
        </w:numPr>
        <w:spacing w:line="240" w:lineRule="auto"/>
      </w:pPr>
      <w:r>
        <w:t>Предоставление субсидий юридическим лицам на компенсацию части затрат, связанных с разработкой и внедрением инновационных технологий, научно-исследовательских работ и опытно-конструкторских разработок, для реализации инвестиционных проектов</w:t>
      </w:r>
    </w:p>
    <w:p w:rsidR="00807C15" w:rsidRDefault="00F66427">
      <w:pPr>
        <w:pStyle w:val="af9"/>
        <w:numPr>
          <w:ilvl w:val="0"/>
          <w:numId w:val="7"/>
        </w:numPr>
        <w:spacing w:line="240" w:lineRule="auto"/>
      </w:pPr>
      <w:r>
        <w:t>Возмещение част</w:t>
      </w:r>
      <w:r>
        <w:t>и затрат промышленных предприятий, связанных с приобретением нового оборудования</w:t>
      </w:r>
    </w:p>
    <w:sectPr w:rsidR="00807C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27" w:rsidRDefault="00F66427">
      <w:pPr>
        <w:spacing w:after="0" w:line="240" w:lineRule="auto"/>
      </w:pPr>
      <w:r>
        <w:separator/>
      </w:r>
    </w:p>
  </w:endnote>
  <w:endnote w:type="continuationSeparator" w:id="0">
    <w:p w:rsidR="00F66427" w:rsidRDefault="00F6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27" w:rsidRDefault="00F66427">
      <w:pPr>
        <w:spacing w:after="0" w:line="240" w:lineRule="auto"/>
      </w:pPr>
      <w:r>
        <w:separator/>
      </w:r>
    </w:p>
  </w:footnote>
  <w:footnote w:type="continuationSeparator" w:id="0">
    <w:p w:rsidR="00F66427" w:rsidRDefault="00F66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B12"/>
    <w:multiLevelType w:val="hybridMultilevel"/>
    <w:tmpl w:val="F95ABDD4"/>
    <w:lvl w:ilvl="0" w:tplc="279C0622">
      <w:start w:val="1"/>
      <w:numFmt w:val="decimal"/>
      <w:lvlText w:val="%1."/>
      <w:lvlJc w:val="left"/>
      <w:pPr>
        <w:ind w:left="1414" w:hanging="705"/>
      </w:pPr>
    </w:lvl>
    <w:lvl w:ilvl="1" w:tplc="AA506804">
      <w:start w:val="1"/>
      <w:numFmt w:val="lowerLetter"/>
      <w:lvlText w:val="%2."/>
      <w:lvlJc w:val="left"/>
      <w:pPr>
        <w:ind w:left="1789" w:hanging="360"/>
      </w:pPr>
    </w:lvl>
    <w:lvl w:ilvl="2" w:tplc="DF6836C4">
      <w:start w:val="1"/>
      <w:numFmt w:val="lowerRoman"/>
      <w:lvlText w:val="%3."/>
      <w:lvlJc w:val="right"/>
      <w:pPr>
        <w:ind w:left="2509" w:hanging="180"/>
      </w:pPr>
    </w:lvl>
    <w:lvl w:ilvl="3" w:tplc="8D36D5CC">
      <w:start w:val="1"/>
      <w:numFmt w:val="decimal"/>
      <w:lvlText w:val="%4."/>
      <w:lvlJc w:val="left"/>
      <w:pPr>
        <w:ind w:left="3229" w:hanging="360"/>
      </w:pPr>
    </w:lvl>
    <w:lvl w:ilvl="4" w:tplc="A266CB3A">
      <w:start w:val="1"/>
      <w:numFmt w:val="lowerLetter"/>
      <w:lvlText w:val="%5."/>
      <w:lvlJc w:val="left"/>
      <w:pPr>
        <w:ind w:left="3949" w:hanging="360"/>
      </w:pPr>
    </w:lvl>
    <w:lvl w:ilvl="5" w:tplc="2558E9D0">
      <w:start w:val="1"/>
      <w:numFmt w:val="lowerRoman"/>
      <w:lvlText w:val="%6."/>
      <w:lvlJc w:val="right"/>
      <w:pPr>
        <w:ind w:left="4669" w:hanging="180"/>
      </w:pPr>
    </w:lvl>
    <w:lvl w:ilvl="6" w:tplc="91DAF37A">
      <w:start w:val="1"/>
      <w:numFmt w:val="decimal"/>
      <w:lvlText w:val="%7."/>
      <w:lvlJc w:val="left"/>
      <w:pPr>
        <w:ind w:left="5389" w:hanging="360"/>
      </w:pPr>
    </w:lvl>
    <w:lvl w:ilvl="7" w:tplc="1C1811AA">
      <w:start w:val="1"/>
      <w:numFmt w:val="lowerLetter"/>
      <w:lvlText w:val="%8."/>
      <w:lvlJc w:val="left"/>
      <w:pPr>
        <w:ind w:left="6109" w:hanging="360"/>
      </w:pPr>
    </w:lvl>
    <w:lvl w:ilvl="8" w:tplc="05B66AA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DE26B6"/>
    <w:multiLevelType w:val="hybridMultilevel"/>
    <w:tmpl w:val="81668832"/>
    <w:lvl w:ilvl="0" w:tplc="5448A4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E8644E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11CF21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E9A30F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E663C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DFC5C6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E2E3C2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15885C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9924C3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2BCF5E56"/>
    <w:multiLevelType w:val="hybridMultilevel"/>
    <w:tmpl w:val="AD366A1C"/>
    <w:lvl w:ilvl="0" w:tplc="2F7CFA8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9B448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FC0EF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38B4E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2C85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30403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542C1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A41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704BC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3752D4F"/>
    <w:multiLevelType w:val="hybridMultilevel"/>
    <w:tmpl w:val="CC56AA1C"/>
    <w:lvl w:ilvl="0" w:tplc="6B7AB72E">
      <w:start w:val="1"/>
      <w:numFmt w:val="decimal"/>
      <w:lvlText w:val="%1."/>
      <w:lvlJc w:val="left"/>
      <w:pPr>
        <w:ind w:left="720" w:hanging="360"/>
      </w:pPr>
    </w:lvl>
    <w:lvl w:ilvl="1" w:tplc="D414BFC2">
      <w:start w:val="1"/>
      <w:numFmt w:val="lowerLetter"/>
      <w:lvlText w:val="%2."/>
      <w:lvlJc w:val="left"/>
      <w:pPr>
        <w:ind w:left="1440" w:hanging="360"/>
      </w:pPr>
    </w:lvl>
    <w:lvl w:ilvl="2" w:tplc="211A4A3A">
      <w:start w:val="1"/>
      <w:numFmt w:val="lowerRoman"/>
      <w:lvlText w:val="%3."/>
      <w:lvlJc w:val="right"/>
      <w:pPr>
        <w:ind w:left="2160" w:hanging="180"/>
      </w:pPr>
    </w:lvl>
    <w:lvl w:ilvl="3" w:tplc="26F87320">
      <w:start w:val="1"/>
      <w:numFmt w:val="decimal"/>
      <w:lvlText w:val="%4."/>
      <w:lvlJc w:val="left"/>
      <w:pPr>
        <w:ind w:left="2880" w:hanging="360"/>
      </w:pPr>
    </w:lvl>
    <w:lvl w:ilvl="4" w:tplc="332A2F9E">
      <w:start w:val="1"/>
      <w:numFmt w:val="lowerLetter"/>
      <w:lvlText w:val="%5."/>
      <w:lvlJc w:val="left"/>
      <w:pPr>
        <w:ind w:left="3600" w:hanging="360"/>
      </w:pPr>
    </w:lvl>
    <w:lvl w:ilvl="5" w:tplc="4E4C3D4C">
      <w:start w:val="1"/>
      <w:numFmt w:val="lowerRoman"/>
      <w:lvlText w:val="%6."/>
      <w:lvlJc w:val="right"/>
      <w:pPr>
        <w:ind w:left="4320" w:hanging="180"/>
      </w:pPr>
    </w:lvl>
    <w:lvl w:ilvl="6" w:tplc="D66EE7B6">
      <w:start w:val="1"/>
      <w:numFmt w:val="decimal"/>
      <w:lvlText w:val="%7."/>
      <w:lvlJc w:val="left"/>
      <w:pPr>
        <w:ind w:left="5040" w:hanging="360"/>
      </w:pPr>
    </w:lvl>
    <w:lvl w:ilvl="7" w:tplc="D1649AAA">
      <w:start w:val="1"/>
      <w:numFmt w:val="lowerLetter"/>
      <w:lvlText w:val="%8."/>
      <w:lvlJc w:val="left"/>
      <w:pPr>
        <w:ind w:left="5760" w:hanging="360"/>
      </w:pPr>
    </w:lvl>
    <w:lvl w:ilvl="8" w:tplc="F384D8C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E6B65"/>
    <w:multiLevelType w:val="hybridMultilevel"/>
    <w:tmpl w:val="B2BEBE3C"/>
    <w:lvl w:ilvl="0" w:tplc="801C57AA">
      <w:start w:val="1"/>
      <w:numFmt w:val="decimal"/>
      <w:lvlText w:val="%1."/>
      <w:lvlJc w:val="left"/>
      <w:pPr>
        <w:ind w:left="1414" w:hanging="705"/>
      </w:pPr>
    </w:lvl>
    <w:lvl w:ilvl="1" w:tplc="6E505534">
      <w:start w:val="1"/>
      <w:numFmt w:val="lowerLetter"/>
      <w:lvlText w:val="%2."/>
      <w:lvlJc w:val="left"/>
      <w:pPr>
        <w:ind w:left="1789" w:hanging="360"/>
      </w:pPr>
    </w:lvl>
    <w:lvl w:ilvl="2" w:tplc="16309F4E">
      <w:start w:val="1"/>
      <w:numFmt w:val="lowerRoman"/>
      <w:lvlText w:val="%3."/>
      <w:lvlJc w:val="right"/>
      <w:pPr>
        <w:ind w:left="2509" w:hanging="180"/>
      </w:pPr>
    </w:lvl>
    <w:lvl w:ilvl="3" w:tplc="0E36A3E4">
      <w:start w:val="1"/>
      <w:numFmt w:val="decimal"/>
      <w:lvlText w:val="%4."/>
      <w:lvlJc w:val="left"/>
      <w:pPr>
        <w:ind w:left="3229" w:hanging="360"/>
      </w:pPr>
    </w:lvl>
    <w:lvl w:ilvl="4" w:tplc="CC241FBA">
      <w:start w:val="1"/>
      <w:numFmt w:val="lowerLetter"/>
      <w:lvlText w:val="%5."/>
      <w:lvlJc w:val="left"/>
      <w:pPr>
        <w:ind w:left="3949" w:hanging="360"/>
      </w:pPr>
    </w:lvl>
    <w:lvl w:ilvl="5" w:tplc="70666D46">
      <w:start w:val="1"/>
      <w:numFmt w:val="lowerRoman"/>
      <w:lvlText w:val="%6."/>
      <w:lvlJc w:val="right"/>
      <w:pPr>
        <w:ind w:left="4669" w:hanging="180"/>
      </w:pPr>
    </w:lvl>
    <w:lvl w:ilvl="6" w:tplc="98AEE20C">
      <w:start w:val="1"/>
      <w:numFmt w:val="decimal"/>
      <w:lvlText w:val="%7."/>
      <w:lvlJc w:val="left"/>
      <w:pPr>
        <w:ind w:left="5389" w:hanging="360"/>
      </w:pPr>
    </w:lvl>
    <w:lvl w:ilvl="7" w:tplc="923EE5DA">
      <w:start w:val="1"/>
      <w:numFmt w:val="lowerLetter"/>
      <w:lvlText w:val="%8."/>
      <w:lvlJc w:val="left"/>
      <w:pPr>
        <w:ind w:left="6109" w:hanging="360"/>
      </w:pPr>
    </w:lvl>
    <w:lvl w:ilvl="8" w:tplc="8B90B7B2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D3F5D"/>
    <w:multiLevelType w:val="hybridMultilevel"/>
    <w:tmpl w:val="391C5AE0"/>
    <w:lvl w:ilvl="0" w:tplc="D56298F6">
      <w:start w:val="1"/>
      <w:numFmt w:val="decimal"/>
      <w:lvlText w:val="%1."/>
      <w:lvlJc w:val="left"/>
      <w:pPr>
        <w:ind w:left="720" w:hanging="360"/>
      </w:pPr>
    </w:lvl>
    <w:lvl w:ilvl="1" w:tplc="8730C060">
      <w:start w:val="1"/>
      <w:numFmt w:val="lowerLetter"/>
      <w:lvlText w:val="%2."/>
      <w:lvlJc w:val="left"/>
      <w:pPr>
        <w:ind w:left="1440" w:hanging="360"/>
      </w:pPr>
    </w:lvl>
    <w:lvl w:ilvl="2" w:tplc="DD964940">
      <w:start w:val="1"/>
      <w:numFmt w:val="lowerRoman"/>
      <w:lvlText w:val="%3."/>
      <w:lvlJc w:val="right"/>
      <w:pPr>
        <w:ind w:left="2160" w:hanging="360"/>
      </w:pPr>
    </w:lvl>
    <w:lvl w:ilvl="3" w:tplc="978090DE">
      <w:start w:val="1"/>
      <w:numFmt w:val="decimal"/>
      <w:lvlText w:val="%4."/>
      <w:lvlJc w:val="left"/>
      <w:pPr>
        <w:ind w:left="2880" w:hanging="360"/>
      </w:pPr>
    </w:lvl>
    <w:lvl w:ilvl="4" w:tplc="044C51FC">
      <w:start w:val="1"/>
      <w:numFmt w:val="lowerLetter"/>
      <w:lvlText w:val="%5."/>
      <w:lvlJc w:val="left"/>
      <w:pPr>
        <w:ind w:left="3600" w:hanging="360"/>
      </w:pPr>
    </w:lvl>
    <w:lvl w:ilvl="5" w:tplc="AB58BC42">
      <w:start w:val="1"/>
      <w:numFmt w:val="lowerRoman"/>
      <w:lvlText w:val="%6."/>
      <w:lvlJc w:val="right"/>
      <w:pPr>
        <w:ind w:left="4320" w:hanging="360"/>
      </w:pPr>
    </w:lvl>
    <w:lvl w:ilvl="6" w:tplc="B56EB7DC">
      <w:start w:val="1"/>
      <w:numFmt w:val="decimal"/>
      <w:lvlText w:val="%7."/>
      <w:lvlJc w:val="left"/>
      <w:pPr>
        <w:ind w:left="5040" w:hanging="360"/>
      </w:pPr>
    </w:lvl>
    <w:lvl w:ilvl="7" w:tplc="095C7116">
      <w:start w:val="1"/>
      <w:numFmt w:val="lowerLetter"/>
      <w:lvlText w:val="%8."/>
      <w:lvlJc w:val="left"/>
      <w:pPr>
        <w:ind w:left="5760" w:hanging="360"/>
      </w:pPr>
    </w:lvl>
    <w:lvl w:ilvl="8" w:tplc="EDFECAD4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5AE12C47"/>
    <w:multiLevelType w:val="hybridMultilevel"/>
    <w:tmpl w:val="BE0E9080"/>
    <w:lvl w:ilvl="0" w:tplc="1EC4CF2A">
      <w:start w:val="1"/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</w:rPr>
    </w:lvl>
    <w:lvl w:ilvl="1" w:tplc="FB64D8CE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 w:hint="default"/>
      </w:rPr>
    </w:lvl>
    <w:lvl w:ilvl="2" w:tplc="0DAA9982">
      <w:start w:val="1"/>
      <w:numFmt w:val="bullet"/>
      <w:lvlText w:val=""/>
      <w:lvlJc w:val="left"/>
      <w:pPr>
        <w:ind w:left="2868" w:hanging="360"/>
      </w:pPr>
      <w:rPr>
        <w:rFonts w:ascii="Wingdings" w:eastAsia="Wingdings" w:hAnsi="Wingdings" w:cs="Wingdings" w:hint="default"/>
      </w:rPr>
    </w:lvl>
    <w:lvl w:ilvl="3" w:tplc="A9966A86">
      <w:start w:val="1"/>
      <w:numFmt w:val="bullet"/>
      <w:lvlText w:val=""/>
      <w:lvlJc w:val="left"/>
      <w:pPr>
        <w:ind w:left="3588" w:hanging="360"/>
      </w:pPr>
      <w:rPr>
        <w:rFonts w:ascii="Symbol" w:eastAsia="Symbol" w:hAnsi="Symbol" w:cs="Symbol" w:hint="default"/>
      </w:rPr>
    </w:lvl>
    <w:lvl w:ilvl="4" w:tplc="1DDAA35E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 w:hint="default"/>
      </w:rPr>
    </w:lvl>
    <w:lvl w:ilvl="5" w:tplc="FA32FC80">
      <w:start w:val="1"/>
      <w:numFmt w:val="bullet"/>
      <w:lvlText w:val=""/>
      <w:lvlJc w:val="left"/>
      <w:pPr>
        <w:ind w:left="5028" w:hanging="360"/>
      </w:pPr>
      <w:rPr>
        <w:rFonts w:ascii="Wingdings" w:eastAsia="Wingdings" w:hAnsi="Wingdings" w:cs="Wingdings" w:hint="default"/>
      </w:rPr>
    </w:lvl>
    <w:lvl w:ilvl="6" w:tplc="5448C9E2">
      <w:start w:val="1"/>
      <w:numFmt w:val="bullet"/>
      <w:lvlText w:val=""/>
      <w:lvlJc w:val="left"/>
      <w:pPr>
        <w:ind w:left="5748" w:hanging="360"/>
      </w:pPr>
      <w:rPr>
        <w:rFonts w:ascii="Symbol" w:eastAsia="Symbol" w:hAnsi="Symbol" w:cs="Symbol" w:hint="default"/>
      </w:rPr>
    </w:lvl>
    <w:lvl w:ilvl="7" w:tplc="7EAAC358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 w:hint="default"/>
      </w:rPr>
    </w:lvl>
    <w:lvl w:ilvl="8" w:tplc="C2D2A976">
      <w:start w:val="1"/>
      <w:numFmt w:val="bullet"/>
      <w:lvlText w:val=""/>
      <w:lvlJc w:val="left"/>
      <w:pPr>
        <w:ind w:left="7188" w:hanging="360"/>
      </w:pPr>
      <w:rPr>
        <w:rFonts w:ascii="Wingdings" w:eastAsia="Wingdings" w:hAnsi="Wingdings" w:cs="Wingdings" w:hint="default"/>
      </w:rPr>
    </w:lvl>
  </w:abstractNum>
  <w:abstractNum w:abstractNumId="7">
    <w:nsid w:val="675D224D"/>
    <w:multiLevelType w:val="hybridMultilevel"/>
    <w:tmpl w:val="3F1809A6"/>
    <w:lvl w:ilvl="0" w:tplc="8B5CAFF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3901C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C8859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722D7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EC22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80563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0AA8D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34FE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4CFCD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15"/>
    <w:rsid w:val="00095685"/>
    <w:rsid w:val="00807C15"/>
    <w:rsid w:val="00F6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3832</Words>
  <Characters>21846</Characters>
  <Application>Microsoft Office Word</Application>
  <DocSecurity>0</DocSecurity>
  <Lines>182</Lines>
  <Paragraphs>51</Paragraphs>
  <ScaleCrop>false</ScaleCrop>
  <Company>Министерство Экономики РД</Company>
  <LinksUpToDate>false</LinksUpToDate>
  <CharactersWithSpaces>25627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Hava</cp:lastModifiedBy>
  <cp:revision>8</cp:revision>
  <dcterms:created xsi:type="dcterms:W3CDTF">2024-02-20T10:29:00Z</dcterms:created>
  <dcterms:modified xsi:type="dcterms:W3CDTF">2024-02-20T10:30:00Z</dcterms:modified>
</cp:coreProperties>
</file>